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Intelligent Asset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Company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plan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DECISION THIS IS ABOUT</w:t>
      </w:r>
    </w:p>
    <w:p>
      <w:r>
        <w:rPr>
          <w:i/>
          <w:color w:val="78828F"/>
          <w:sz w:val="19"/>
        </w:rPr>
        <w:t>One sentence: my company, its type and the one decision I named in Session 1 (or, where this session needs it, the nearest one in my own company), and the decision this session is about. Not a hypothetical company.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PLAN SECTION</w:t>
      </w:r>
    </w:p>
    <w:p>
      <w:r>
        <w:rPr>
          <w:i/>
          <w:color w:val="78828F"/>
          <w:sz w:val="19"/>
        </w:rPr>
        <w:t>The finished section this session adds to my 90-Day Intelligent Asset Plan. Write it as it will appear in the plan — the baseline, the decision, named owners by role and person, the evidence, controls and dates.</w:t>
      </w:r>
    </w:p>
    <w:p/>
    <w:p>
      <w:pPr>
        <w:spacing w:before="280"/>
      </w:pPr>
      <w:r>
        <w:rPr>
          <w:b/>
          <w:color w:val="FC2B03"/>
          <w:sz w:val="21"/>
        </w:rPr>
        <w:t>5 · WHAT MY COMPANY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personal data, credentials, contracts, customer or operating data you are not free to share, control-system details or anything under NDA into this document. Describe the asset, the decision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ERW CommandAsset — Assignment Submission</dc:title>
  <dc:subject/>
  <dc:creator>ERW CommandAsset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